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6E0" w:rsidRPr="001061FB" w:rsidRDefault="00DE56E0" w:rsidP="001061F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6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LESS IS MORE - RESTRICTIVE TRANSFUSION STRATEGY IN CORONARY ARTERY DISEASE PATIENTS RESULTS IN SHORTER LENGTH OF STAY</w:t>
      </w:r>
    </w:p>
    <w:p w:rsidR="001061FB" w:rsidRDefault="00DE56E0" w:rsidP="001061F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6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G.A. </w:t>
      </w:r>
      <w:proofErr w:type="spellStart"/>
      <w:r w:rsidRPr="00106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Medranda</w:t>
      </w:r>
      <w:proofErr w:type="spellEnd"/>
      <w:r w:rsidRPr="00106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P.J. </w:t>
      </w:r>
      <w:proofErr w:type="spellStart"/>
      <w:r w:rsidRPr="001061FB">
        <w:rPr>
          <w:rFonts w:ascii="Times New Roman" w:eastAsia="Times New Roman" w:hAnsi="Times New Roman" w:cs="Times New Roman"/>
          <w:color w:val="000000"/>
          <w:sz w:val="24"/>
          <w:szCs w:val="24"/>
        </w:rPr>
        <w:t>Sapia</w:t>
      </w:r>
      <w:proofErr w:type="spellEnd"/>
      <w:r w:rsidRPr="00106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 </w:t>
      </w:r>
      <w:proofErr w:type="spellStart"/>
      <w:r w:rsidRPr="001061FB">
        <w:rPr>
          <w:rFonts w:ascii="Times New Roman" w:eastAsia="Times New Roman" w:hAnsi="Times New Roman" w:cs="Times New Roman"/>
          <w:color w:val="000000"/>
          <w:sz w:val="24"/>
          <w:szCs w:val="24"/>
        </w:rPr>
        <w:t>Brahmbhatt</w:t>
      </w:r>
      <w:proofErr w:type="spellEnd"/>
      <w:r w:rsidRPr="00106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C.A. Garcia, C. Healey, M. </w:t>
      </w:r>
      <w:proofErr w:type="spellStart"/>
      <w:r w:rsidRPr="001061FB">
        <w:rPr>
          <w:rFonts w:ascii="Times New Roman" w:eastAsia="Times New Roman" w:hAnsi="Times New Roman" w:cs="Times New Roman"/>
          <w:color w:val="000000"/>
          <w:sz w:val="24"/>
          <w:szCs w:val="24"/>
        </w:rPr>
        <w:t>Fazzari</w:t>
      </w:r>
      <w:proofErr w:type="spellEnd"/>
      <w:r w:rsidRPr="001061FB">
        <w:rPr>
          <w:rFonts w:ascii="Times New Roman" w:eastAsia="Times New Roman" w:hAnsi="Times New Roman" w:cs="Times New Roman"/>
          <w:color w:val="000000"/>
          <w:sz w:val="24"/>
          <w:szCs w:val="24"/>
        </w:rPr>
        <w:t>, S. Green</w:t>
      </w:r>
    </w:p>
    <w:p w:rsidR="00DE56E0" w:rsidRPr="001061FB" w:rsidRDefault="00DE56E0" w:rsidP="001061F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61FB">
        <w:rPr>
          <w:rFonts w:ascii="Times New Roman" w:eastAsia="Times New Roman" w:hAnsi="Times New Roman" w:cs="Times New Roman"/>
          <w:color w:val="000000"/>
          <w:sz w:val="24"/>
          <w:szCs w:val="24"/>
        </w:rPr>
        <w:t>NYU Winthrop Hospital, Mineola, NY, USA.</w:t>
      </w:r>
    </w:p>
    <w:p w:rsidR="00DE56E0" w:rsidRPr="001061FB" w:rsidRDefault="00DE56E0" w:rsidP="001061F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61FB" w:rsidRDefault="00DE56E0" w:rsidP="001061F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6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Background: </w:t>
      </w:r>
      <w:r w:rsidRPr="001061FB">
        <w:rPr>
          <w:rFonts w:ascii="Times New Roman" w:eastAsia="Times New Roman" w:hAnsi="Times New Roman" w:cs="Times New Roman"/>
          <w:color w:val="000000"/>
          <w:sz w:val="24"/>
          <w:szCs w:val="24"/>
        </w:rPr>
        <w:t>Transfusion thresholds are evolving. With concerns over blood-borne pathogens and costs, this practice has been refined. Evidence exists to support more restrictive transfusion strategies in non-surgical/critical care patients. However, there is a lack of data regarding the impact of transfusions for those non-surgical/critical care patients with pre-existing coronary artery disease (CAD). We hypothesize no benefit of a liberal transfusion strategy in patients with CAD in terms of major adverse cardiovascular events (MACE). </w:t>
      </w:r>
    </w:p>
    <w:p w:rsidR="001061FB" w:rsidRDefault="00DE56E0" w:rsidP="001061F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6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Method:</w:t>
      </w:r>
      <w:r w:rsidRPr="00106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In a retrospective, observational study from 2013-2014, we identified 628 non-surgical/critical care patients with pre-existing CAD who were transfused </w:t>
      </w:r>
      <w:proofErr w:type="spellStart"/>
      <w:r w:rsidRPr="001061FB">
        <w:rPr>
          <w:rFonts w:ascii="Times New Roman" w:eastAsia="Times New Roman" w:hAnsi="Times New Roman" w:cs="Times New Roman"/>
          <w:color w:val="000000"/>
          <w:sz w:val="24"/>
          <w:szCs w:val="24"/>
        </w:rPr>
        <w:t>leukoreduced</w:t>
      </w:r>
      <w:proofErr w:type="spellEnd"/>
      <w:r w:rsidRPr="00106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red blood cells (LRBC). We excluded 226 patients with end stage renal disease. Patients were divided based upon a pre-transfusion hemoglobin of 8 g/dL. Differences in MACE, inpatient mortality, transfusion reactions and length of stay were examined. Using a margin of 10% to define equivalency, 90% confidence intervals (CI) for the differences and p-values for equivalency were computed via two one-sided tests (TOST). Differences in length of stay were evaluated via t-test.</w:t>
      </w:r>
    </w:p>
    <w:p w:rsidR="001061FB" w:rsidRDefault="00DE56E0" w:rsidP="001061F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6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Results:</w:t>
      </w:r>
      <w:r w:rsidRPr="001061FB">
        <w:rPr>
          <w:rFonts w:ascii="Times New Roman" w:eastAsia="Times New Roman" w:hAnsi="Times New Roman" w:cs="Times New Roman"/>
          <w:color w:val="000000"/>
          <w:sz w:val="24"/>
          <w:szCs w:val="24"/>
        </w:rPr>
        <w:t> Of the 402 included patients, 220 (54.7%) were transfused at a hemoglobin level less than 8 g/dL (restrictive group) and 182 patients (45.3%) were transfused at a hemoglobin level equal to or above 8 g/dL (liberal group). MACE occurred in 7.7% in the restrictive group and 6.6% in the liberal group (90% CI: 1.10 (-3.9, 6.2), supportive of equivalence; TOST p &lt; 0.001). Rates of inpatient mortality or transfusion reactions did not differ between groups. The restrictive group had a median length of stay of 8 days compared to patients in the liberal group with a median of 9 days (p = 0.01).</w:t>
      </w:r>
    </w:p>
    <w:p w:rsidR="00DE56E0" w:rsidRPr="001061FB" w:rsidRDefault="00DE56E0" w:rsidP="001061F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6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Conclusion: </w:t>
      </w:r>
      <w:r w:rsidRPr="001061FB">
        <w:rPr>
          <w:rFonts w:ascii="Times New Roman" w:eastAsia="Times New Roman" w:hAnsi="Times New Roman" w:cs="Times New Roman"/>
          <w:color w:val="000000"/>
          <w:sz w:val="24"/>
          <w:szCs w:val="24"/>
        </w:rPr>
        <w:t>We demonstrated that a liberal transfusion strategy in patients with pre-existing CAD did not lead to an improvement in rates of MACE. In fact, patients who were transfused more liberally had a longer length of stay than those transfused more restrictively. This suggests that adopting a more restrictive transfusion strategy in non-surgical/critical care patients with CAD improves length of stay without an increase in MACE.</w:t>
      </w:r>
    </w:p>
    <w:p w:rsidR="00DE56E0" w:rsidRPr="001061FB" w:rsidRDefault="00DE56E0" w:rsidP="001061FB">
      <w:pPr>
        <w:rPr>
          <w:sz w:val="24"/>
          <w:szCs w:val="24"/>
        </w:rPr>
      </w:pPr>
      <w:bookmarkStart w:id="0" w:name="_GoBack"/>
      <w:bookmarkEnd w:id="0"/>
    </w:p>
    <w:p w:rsidR="00345DBB" w:rsidRPr="001061FB" w:rsidRDefault="00DE56E0" w:rsidP="001061FB">
      <w:pPr>
        <w:tabs>
          <w:tab w:val="left" w:pos="2708"/>
        </w:tabs>
        <w:rPr>
          <w:sz w:val="24"/>
          <w:szCs w:val="24"/>
        </w:rPr>
      </w:pPr>
      <w:r w:rsidRPr="001061FB">
        <w:rPr>
          <w:sz w:val="24"/>
          <w:szCs w:val="24"/>
        </w:rPr>
        <w:tab/>
      </w:r>
    </w:p>
    <w:sectPr w:rsidR="00345DBB" w:rsidRPr="001061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577" w:rsidRDefault="00BE6577" w:rsidP="001061FB">
      <w:r>
        <w:separator/>
      </w:r>
    </w:p>
  </w:endnote>
  <w:endnote w:type="continuationSeparator" w:id="0">
    <w:p w:rsidR="00BE6577" w:rsidRDefault="00BE6577" w:rsidP="0010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577" w:rsidRDefault="00BE6577" w:rsidP="001061FB">
      <w:r>
        <w:separator/>
      </w:r>
    </w:p>
  </w:footnote>
  <w:footnote w:type="continuationSeparator" w:id="0">
    <w:p w:rsidR="00BE6577" w:rsidRDefault="00BE6577" w:rsidP="00106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1FB" w:rsidRPr="001061FB" w:rsidRDefault="001061FB" w:rsidP="001061FB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1061FB">
      <w:rPr>
        <w:rFonts w:ascii="Times New Roman" w:eastAsia="Times New Roman" w:hAnsi="Times New Roman" w:cs="Times New Roman"/>
        <w:color w:val="000000"/>
        <w:sz w:val="24"/>
        <w:szCs w:val="24"/>
      </w:rPr>
      <w:t>18-A-664-IAC</w:t>
    </w:r>
  </w:p>
  <w:p w:rsidR="001061FB" w:rsidRPr="001061FB" w:rsidRDefault="001061FB" w:rsidP="001061FB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1061FB">
      <w:rPr>
        <w:rFonts w:ascii="Times New Roman" w:eastAsia="Times New Roman" w:hAnsi="Times New Roman" w:cs="Times New Roman"/>
        <w:color w:val="000000"/>
        <w:sz w:val="24"/>
        <w:szCs w:val="24"/>
      </w:rPr>
      <w:t>54. Measurement of Outcome and Quality of Cardiovascular Care</w:t>
    </w:r>
  </w:p>
  <w:p w:rsidR="001061FB" w:rsidRDefault="001061FB">
    <w:pPr>
      <w:pStyle w:val="Header"/>
    </w:pPr>
  </w:p>
  <w:p w:rsidR="001061FB" w:rsidRDefault="00106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E0"/>
    <w:rsid w:val="001061FB"/>
    <w:rsid w:val="0030401F"/>
    <w:rsid w:val="008A10D5"/>
    <w:rsid w:val="00A128E1"/>
    <w:rsid w:val="00BE6577"/>
    <w:rsid w:val="00DE56E0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F7DEC"/>
  <w15:chartTrackingRefBased/>
  <w15:docId w15:val="{623FB97D-4742-478E-8EBD-E1A40F2D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1FB"/>
  </w:style>
  <w:style w:type="paragraph" w:styleId="Footer">
    <w:name w:val="footer"/>
    <w:basedOn w:val="Normal"/>
    <w:link w:val="FooterChar"/>
    <w:uiPriority w:val="99"/>
    <w:unhideWhenUsed/>
    <w:rsid w:val="00106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2018-05-28T13:56:00Z</dcterms:created>
  <dcterms:modified xsi:type="dcterms:W3CDTF">2018-05-28T13:58:00Z</dcterms:modified>
</cp:coreProperties>
</file>